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0B263D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>
      <w:pPr>
        <w:pStyle w:val="Title"/>
        <w:spacing w:before="140" w:after="20"/>
      </w:pPr>
      <w:r>
        <w:t>Broadband Sign-Up &amp; Help Event Checklist</w:t>
      </w:r>
    </w:p>
    <w:p>
      <w:pPr>
        <w:spacing w:after="120"/>
      </w:pPr>
      <w:r>
        <w:rPr>
          <w:rFonts w:ascii="Arial" w:hAnsi="Arial"/>
          <w:b/>
          <w:color w:val="5B6975"/>
          <w:sz w:val="23"/>
        </w:rPr>
        <w:t>Help residents ask questions, compare options, get connected and build confidence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GOAL:  </w:t>
            </w:r>
            <w:r>
              <w:rPr>
                <w:rFonts w:ascii="Arial" w:hAnsi="Arial"/>
                <w:color w:val="0B263D"/>
                <w:sz w:val="21"/>
              </w:rPr>
              <w:t>Residents should leave knowing what service is planned or available, what it may cost, what help they qualify for, and who to contact next.</w:t>
            </w:r>
          </w:p>
        </w:tc>
      </w:tr>
    </w:tbl>
    <w:p>
      <w:pPr>
        <w:pStyle w:val="Heading1"/>
      </w:pPr>
      <w:r>
        <w:t>Before the 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Choose an accessible location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Invite relevant providers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Bring current BEAD map access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Invite library / digital skills helpers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Prepare Lifeline information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Plan device / computer help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Advertise through churches / schools / civic groups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Arrange tables, Wi-Fi and power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Prepare sign-in / follow-up sheet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Name a person to record unresolved issues</w:t>
            </w:r>
          </w:p>
        </w:tc>
      </w:tr>
    </w:tbl>
    <w:p>
      <w:pPr>
        <w:pStyle w:val="Heading1"/>
      </w:pPr>
      <w:r>
        <w:t>At the 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Help residents look up their address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Explain planned technology/provider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Ask providers about low-cost options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Help eligible households find Lifeline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Offer digital-skills / device help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Record locations with unanswered questions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Protect personal information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Give every resident a next step / contact</w:t>
            </w:r>
          </w:p>
        </w:tc>
      </w:tr>
    </w:tbl>
    <w:p>
      <w:r>
        <w:br w:type="page"/>
      </w:r>
    </w:p>
    <w:p>
      <w:pPr>
        <w:pStyle w:val="Heading1"/>
      </w:pPr>
      <w:r>
        <w:t>After the 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Follow up on unanswered provider questions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Add unresolved issues to Task Force tracker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Contact residents who requested follow-up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Report counts at the next Task Force meeting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Share next event / workshop date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Record lessons for the next event</w:t>
            </w:r>
          </w:p>
        </w:tc>
      </w:tr>
    </w:tbl>
    <w:p>
      <w:pPr>
        <w:pStyle w:val="Heading1"/>
      </w:pPr>
      <w:r>
        <w:t>Event 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Date / location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Residents assisted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Addresses checked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Provider questions referred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Lifeline / affordability referrals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Digital skills / device referrals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Unresolved issues added to tracker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  <w:tr>
        <w:tc>
          <w:tcPr>
            <w:tcW w:type="dxa" w:w="44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  <w:t>Next follow-up date</w:t>
            </w:r>
          </w:p>
        </w:tc>
        <w:tc>
          <w:tcPr>
            <w:tcW w:type="dxa" w:w="57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9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PRIVACY:  </w:t>
            </w:r>
            <w:r>
              <w:rPr>
                <w:rFonts w:ascii="Arial" w:hAnsi="Arial"/>
                <w:color w:val="0B263D"/>
                <w:sz w:val="21"/>
              </w:rPr>
              <w:t>Do not collect Social Security numbers, passwords, bank information or other sensitive personal information on Task Force forms.</w:t>
            </w:r>
          </w:p>
        </w:tc>
      </w:tr>
    </w:tbl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